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DAFTAR INFORMASI PUBLIK</w:t>
      </w:r>
    </w:p>
    <w:tbl>
      <w:tblPr>
        <w:tblStyle w:val="Table1"/>
        <w:tblW w:w="13679.999999999998" w:type="dxa"/>
        <w:jc w:val="left"/>
        <w:tblInd w:w="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9"/>
        <w:gridCol w:w="2679"/>
        <w:gridCol w:w="2268"/>
        <w:gridCol w:w="2126"/>
        <w:gridCol w:w="2409"/>
        <w:gridCol w:w="1701"/>
        <w:gridCol w:w="1938"/>
        <w:tblGridChange w:id="0">
          <w:tblGrid>
            <w:gridCol w:w="559"/>
            <w:gridCol w:w="2679"/>
            <w:gridCol w:w="2268"/>
            <w:gridCol w:w="2126"/>
            <w:gridCol w:w="2409"/>
            <w:gridCol w:w="1701"/>
            <w:gridCol w:w="1938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Ringkasan isi informasi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Pejabat/Unit/Satker yang menguasai informasi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Penanggungjawab pembuatan atau penerbitan informasi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Waktu dan tempat pembuatan informasi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Bentuk informasi yang tersedia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d0cece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Jangka Waktu Penyimpanan atau Retensi Arsip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BIRO UMUM, DAN KEPEGAWAIAN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Rencana Kerja Anggaran (RKA)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Perencanaan Anggaran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Daftar Isian Pelaksanaan Anggaran (DIPA)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Perencanaan Anggaran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Realisasi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Pelaksana Anggaran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Operasional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Pelaksana Anggaran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Perubahan Ekuitas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Pelaksana Anggaran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Neraca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Pelaksana Anggaran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Tahunan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Monitoring, Evaluasi, dan Pelaporan Kinerja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Permanen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Kinerja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Monitoring, Evaluasi, dan Pelaporan Kinerja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Permanen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hasil Survei Nasional Perlindungan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Monitoring, Evaluasi, dan Pelaporan Kinerja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Permanen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hasil Survei Persepsi Masyarakat terhadap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Monitoring, Evaluasi, dan Pelaporan Kinerja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Permanen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Sistem Penilaian Kinerja Pegawai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2026,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Hard copy dan 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2 tahun setelah SK ditetapkan, Inaktif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Pengumuman Berkenaan Tentang Seleksi Penerimaan Anggota LPSK, Tenaga Ahli LPSK, Promosi, Mutasi, Rekruitmen Pegawai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2026,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Hard copy dan 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2 tahun; inaktif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Usulan Formasi Kebutuhan ASN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2026,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2 tahun setelah anggaran berakhir; inaktif 3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Data Rekapitulasi Kehadiran Pegawai LPSK Berdasarkan Unit Kerja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2026,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1 tahun anggaran berjalan; inaktif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Data Pegawai yang Sedang dan/atau Telah Melaksanakan Tugas Belajar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Pengembangan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dan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· Aktif, 2 Tahun setelah SK ditetapkan</w:t>
              <w:br w:type="textWrapping"/>
              <w:t xml:space="preserve"> Inaktif,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Data Pelatihan yang Diselenggarakan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Pengembangan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dan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· Aktif, 2 Tahun setelah SK ditetapkan</w:t>
              <w:br w:type="textWrapping"/>
              <w:t xml:space="preserve"> Inaktif,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Data Capaian Pengembangan Kompetensi Pegawai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Pengembangan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dan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· Aktif, 2 Tahun setelah SK ditetapkan</w:t>
              <w:br w:type="textWrapping"/>
              <w:t xml:space="preserve"> Inaktif,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Rencana Pengembangan Karier Pegawai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Pengembangan SDM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Sekretaris Jenderal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dan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· Aktif, 1 tahun</w:t>
              <w:br w:type="textWrapping"/>
              <w:t xml:space="preserve"> Inaktif, 2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Program dan Kegiatan Kearsipan dalam bentuk Rencana kerja, program pembinaan, pengelolaan arsip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Arsip dan Perpustakaan – Biro Umum dan Kepegawai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Unit Kearsipan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Tahunan, Unit Kearsipan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Hasil Pelaksanaan Kegiatan Kearsipan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Arsip dan Perpustakaan – Biro Umum dan Kepegawai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Ketua Tim Kearsipan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 tahun/5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Jadwal Retensi Arsip (JRA) yang merupakan ketentuan masa simpan arsip serta penyusutannya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Arsip dan Perpustakaan – Biro Umum dan Kepegawai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Unit Kearsipan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 (direvisi jika ada perubahan)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 tahun - permanen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Layanan Penggunaan Arsip, Konsultasi, dan lain-lain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Arsip dan Perpustakaan – Biro Umum dan Kepegawai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Ketua Tim Kearsipan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Inventaris BMN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Barang Milik Negara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Setiap tahun,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Selama Berlaku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Rencana Umum Pengadaan (RUP) Memuat ringkasan nama paket, pagu anggaran, metode pemilihan, dan lokasi pengadaan di lingkungan LPSK.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Unit Kerja Pengadaan Barang/Jasa (UKPBJ) –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Kuasa Pengguna Anggaran (KPA)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Awal Tahun Anggaran, Kantor LPSK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(Aplikasi SiRUP/Web LPSE) &amp;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 (aktif) / 10 tahun (inaktif)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 Pemilihan / Kak dan Spesifikasi Teknis</w:t>
              <w:br w:type="textWrapping"/>
              <w:t xml:space="preserve"> Memuat syarat kualifikasi administrasi, teknis, dan rincian kebutuhan barang/jasa yang ditenderkan terbuka.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Pokja Pemilihan/Pejabat Pengadaan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Pokja Pemilihan / UKPBJ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Saat Pengumuman Tender, Kantor LPSK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(Aplikasi SPSE/LPSE)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 setelah kontrak selesai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Berita Acara Pemberian Penjelasan (Aanwijzing)</w:t>
              <w:br w:type="textWrapping"/>
              <w:t xml:space="preserve"> Memuat ringkasan pertanyaan dari calon penyedia dan jawaban dari Pokja Pemilihan mengenai dokumen tender.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Pokja Pemilihan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Pokja Pemilihan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Masa Kerja Pokja, Kantor LPSK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(Sistem Elektronik SPSE)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Pengumuman Pemenang Penyedia Barang/Jasa</w:t>
              <w:br w:type="textWrapping"/>
              <w:t xml:space="preserve"> Memuat informasi nama paket, nama pemenang, alamat pemenang, serta nilai penawaran terkoreksi.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Pokja Pemilihan/UKPBJ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Pokja Pemilihan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Sesuai Jadwal Tender, Kantor LPSK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(Aplikasi SPSE) &amp; Cetakan 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Rancangan Kontrak Pengadaan (Format Standar) Format draf perjanjian umum dan khusus yang disiapkan bagi para calon penyedia.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Pejabat Pembuat Komitmen (PPK)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Pejabat Pembuat Komitmen (PPK)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Tahap Persiapan Tender, Kantor LPSK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&amp;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Permanen/minimal 10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Draft Dokumen masterplan transformasi digital Tahun 2025 - 2029 yang didalam nya memuat informasi Roadmap dan Strategi Implementasi Transformasi Digital LPSK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Tim Pengelolaan dan Pengembangan Teknologi Informasi dan Komunikasi – Biro Umum dan Kepegawaian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Kepala Biro Umum dan Kepegawaian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Jakarta, 2025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Nilai index pemerintahan digital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dan Pengembangan Teknologi Informasi dan Komunikasi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Kabag Kerumahtanggaan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Diperbarui setiap ada </w:t>
              <w:br w:type="textWrapping"/>
              <w:t xml:space="preserve"> perubahan,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color w:val="00000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Panduan penggunaan aplikasi pelindungan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dan Pengembangan Teknologi Informasi dan Komunikasi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Kabag Kerumahtanggaan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Diperbarui setiap ada </w:t>
              <w:br w:type="textWrapping"/>
              <w:t xml:space="preserve"> perubahan,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Nilai index ikasandi di lingkungan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dan Pengembangan Teknologi Informasi dan Komunikasi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Diperbarui setiap ada </w:t>
              <w:br w:type="textWrapping"/>
              <w:t xml:space="preserve"> perubahan,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Sertifikasi ISO/IEC 27001:2022 dengan ruang lingkup Data Center dan SIMPUSAKA.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Pengelolaan dan Pengembangan Teknologi Informasi dan Komunikasi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Setahun sekali (2025),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Status Perijinan dan Akreditasi Klinik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 Layanan Kesehatan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 dan 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Jenis Layanan Klinik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Pengelola Layanan Kesehatan –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Umum dan Kepegawaian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Kebijakan Teknis Pengawasan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Bagian Pengawasan/Bagian Pengawasan/Tim Pengawasan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 Kepala Bagian Pengawasan</w:t>
              <w:br w:type="textWrapping"/>
              <w:t xml:space="preserve"> </w:t>
              <w:br w:type="textWrapping"/>
              <w:t xml:space="preserve"> 2. Ketua Tim Pengawasan I&amp;II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Tentatif, dibuat di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Perencanaan Pengawasan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Bagian Pengawasan/Bagian Pengawasan/Tim Pengawasan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 Kepala Bagian Pengawasan</w:t>
              <w:br w:type="textWrapping"/>
              <w:t xml:space="preserve"> </w:t>
              <w:br w:type="textWrapping"/>
              <w:t xml:space="preserve"> 2. Ketua Tim Pengawasan I&amp;II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Tahunan, dibuat di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Evaluasi Pengawasan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Bagian Pengawasan/Bagian Pengawasan/Tim Pengawasan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 Kepala Bagian Pengawasan</w:t>
              <w:br w:type="textWrapping"/>
              <w:t xml:space="preserve"> </w:t>
              <w:br w:type="textWrapping"/>
              <w:t xml:space="preserve"> 2. Ketua Tim Pengawasan I&amp;II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dan dibuat di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Laporan pemeliharaan gedung kantor dan peralatan mesin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Bagian Kerumahtanggaan dan Layanan Pengadaan/Tim Kerumahtanggaan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1">
            <w:pPr>
              <w:pBdr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between w:color="000000" w:space="0" w:sz="4" w:val="single"/>
              </w:pBd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Kepala Bagian Kerumahtanggaan dan Layanan Pengadan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Tahunan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laporan pemeriksaan gedung kantor dan peralatan mesin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Bagian Kerumahtanggaan dan Layanan Pengadaan/Tim Kerumahtanggaan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Kepala Bagian Kerumahtanggaan dan Layanan Pengadan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Tahunan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denah jalur evakuasi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Bagian Kerumahtanggaan dan Layanan Pengadaan/Tim Kerumahtanggaan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Kepala Bagian Kerumahtanggaan dan Layanan Pengadan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Diperbarui setiap ada</w:t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perubahan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gedung kantor dan peralatan mesin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Bagian Kerumahtanggaan dan Layanan Pengadaan/Tim Kerumahtanggaan</w:t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Kepala Bagian Kerumahtanggaan dan Layanan Pengadan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Diperbarui setiap ada</w:t>
            </w:r>
          </w:p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perubahan</w:t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Soft copy/hard 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BIRO HUKUM, KERJA SAMA DAN HUBUNGAN MASYARAKAT</w:t>
            </w:r>
          </w:p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29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Kajian Hukum tentang Penggunaan Sistem Akuntabilitas Kinerja Instansi Pemerintah dalam mewujudkan Good Governance di Lembaga pelindungan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21 Agustus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Kajian Hukum tentang Integrasi Satu Data Lembaga pelindungan Saksi dan Korban dalam Kerangka Satu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29 Agustus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Rancangan Awal Renstra LPSK 2025-2029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1 Oktober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Hasil Analisis dan Evaluasi dalam rangka Perubahan Peraturan LPSK tentang Sistem Akuntabilitas Kinerja Instansi Pemerintah di Lingkungan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10 Oktober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Peraturan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 Tim Hukum dan Advokasi</w:t>
              <w:br w:type="textWrapping"/>
              <w:t xml:space="preserve">2. 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27 Agsutus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Peraturan Sekretaris Jenderal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 Tim Hukum dan Advokasi</w:t>
              <w:br w:type="textWrapping"/>
              <w:t xml:space="preserve">2. 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27 Agsutus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Hasil Analisis dan Evaluasi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Analisis dan Evaluasi Produk Hukum serta Pengelolaan JDIH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27 Agsutus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Usulan Pemetaan PP dan Perpres (Turunan RUU PSDK)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 Tim Kerja RUU, RPerPres, RPP.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Pandangan Umum LPSK dalam RDP RUU PSDK dengan Komisi XIII DPR 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 Tim Kerja RUU, RPerPres, RPP.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Pokok pikiran dalam RUU tentang Perubahan Kedua</w:t>
              <w:br w:type="textWrapping"/>
              <w:t xml:space="preserve">Atas UU Nomor 13 Tahun 2006 tentang pelindungan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Hukum, Kerjasama dan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 Tim Kerja RUU, RPerPres, RPP.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Standar Pelayanan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Pelayanan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HKH/Tim Kerja Pelayanan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Produk, Prosedur, Syarat, Biaya, Jangka Waktu, Kualifikasi Petugas, dan Sarana Pengaduan Layanan LPSK (Soft file)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Survei Kepuasan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Pelayanan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HKH/Tim Kerja Pelayanan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Hasil dan Indeks Kepuasan Masyarakat serta Rencana Tindak Lanjut (Soft file)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Forum Konsultasi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Pelayanan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HKH/Tim Kerja Pelayanan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Berita Acara dan Dokumentasi Pelaksanaan FKP (Soft file)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Dokumentasi Kegiatan Layanan pelindungan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HKH/Biro Pemenuhan Hak Saksi dan Korban/Biro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Video,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Alur/Proses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Biro/Tim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 Kerja Sama Aktif dalam bentuk Kesepahaman/Nota Kesepakatan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Biro/Tim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Daftar Data Kerja Sama Aktif dalam bentuk Perjanjian Kerja Sama dan bentuk Kerja Sama lainnya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Biro/Tim Kerja Sama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Dokumentasi Kegiatan Internal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Siaran pers LPSK yang telah dipublikasikan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Berita kegiatan pimpinan yang telah dipublikasikan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Berita kegiatan substansi tugas dan fungsi Lembaga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Pedoman penggunaan logo dan identitas visual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Brosur, booklet, infografik terkait kerja-kerja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Video edukasi yang telah dipublikasikan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Profil PPID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Struktur organisasi PPID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1F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SK PPID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SOP layanan informasi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SOP layanan kehumasan eksternal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SOP layanan kehumasan internal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tahunan layanan informasi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Statistik permohonan informasi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Daftar Informasi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Daftar Informasi yang Dikecualikan (DIK) yang telah ditetapkan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Survei Kepuasan Masyarakat layanan informasi publik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Konten media sosial yang telah dipublikasikan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Gambar, Video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layanan operasional LPSK saat libur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Biro HKH/Tim Kerja 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HKH/Hubungan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Gambar dan narasi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C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Agenda pimpinan yang berkaitan dengan tugas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Biro HKH/Tim Protokol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Kepala Biro HKH/Tim Protokol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Jakarta,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Tabel Agenda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BIRO PENELAAHAN PERMOHONAN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daftar Arsip Aktif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Dukungan Manajemen Biro 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 dan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daftar Arsip Inaktif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Dukungan Manajemen Biro 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kinerja Biro PP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Dukungan Manajemen Biro PP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 dan Hardcopy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1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Keuangan Biro PP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Dukungan Manajemen Biro PP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 setiap ada kegiatan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 dan Hardcopy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Tahun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Alur Pengajuan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Penerimaan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 dan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7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permohonan berdasarkan: </w:t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jenis tindak pidana</w:t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Wilayah</w:t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Media permohonan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Status Pemohon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Penerimaan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 dan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kegiatan penelaahan berdasarkan tindak pidana dan/atau wilayah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Bulanan/Triwulan/ 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tindakan proaktif berdasarkan tindak pidana dan/atau wilayah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Bulanan/Triwulan/ 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perlindungan darurat berdasarkan tindak pidana dan/atau wilayah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Penelaahan Permohonan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Bulanan/Triwulan/ 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Daftar Informasi hasil Keputusan SMPL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Persidangan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Persidangan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Bulanan/Tahunan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BIRO PEMENUHAN HAK SAKSI DAN KORBAN</w:t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A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Terlindung LPSK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Berkala/ kantor Lembaga Pelindungan Saksi dan Korban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Cetak dalam bentuk laporan akhir tahun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B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Terlindung LPSK berdasarkan :</w:t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Hak Prosedural</w:t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Hak Penggantian Biaya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HAkatas informasi</w:t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perlindungan hukum</w:t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Penanganan khusus dan penghargaan saksi pelaku</w:t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bantuan medis</w:t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bantuan rehabilitasi psikologis</w:t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Layanan bantuan rehabilitasi psikososial</w:t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Bantuan kompensasi</w:t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Fasilitasi Restitusi</w:t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Berkala/ kantor Lembaga Pelindungan Saksi dan Korban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Cetak dalam bentuk laporan akhir tahun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C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Terlindung LPSK berdasarkan :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sebaran pada tingkat Provinsi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Tindak Pidana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Usia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Jenis Kelamin</w:t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Kelompok Rentan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94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Jenis Layanan Pelindungan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Berkala/ kantor Lembaga Pelindungan Saksi dan Korban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Cetak dalam bentuk laporan akhir tahun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Nilai Restitusi yang dihitung oleh LPSK dalam 1 tahun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Berkala/ kantor Lembaga Pelindungan Saksi dan Korban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Cetak dalam bentuk laporan akhir tahun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Nilai Kompensasi yang diserahkan oleh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Berkala/ kantor Lembaga Pelindungan Saksi dan Korban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Cetak dalam bentuk laporan akhir tahun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mengenai pelaksanaan pemenuhan hak restitusi kurang bayar melalui Dana Bantuan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Biro/Biro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Biro Pemenuhan Hak Saksi dan Korban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Berkala/ kantor Lembaga Pelindungan Saksi dan Korban Jakarta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Cetak dalam bentuk laporan akhir tahun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Selama berlaku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PERWAKILAN LPSK DAERAH</w:t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F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mengenai Tugas dan fungsi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Bulanan/Triwulan/Tahunan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Hasil Penilaian Pengawasan Kearsipan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Laporan Kinerja Tahunan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Indeks Persepsi Kualitas </w:t>
              <w:br w:type="textWrapping"/>
              <w:t xml:space="preserve">Pelayanan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jumlah pengakses layanan WA Call Center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kegiatan sosialisasi </w:t>
              <w:br w:type="textWrapping"/>
              <w:t xml:space="preserve">layanan LPSK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publikasi melalui media cetak, elektronik dan 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Pameran, </w:t>
              <w:br w:type="textWrapping"/>
              <w:t xml:space="preserve">Lomba, Festival,</w:t>
              <w:br w:type="textWrapping"/>
              <w:t xml:space="preserve">Pembuatan Spanduk dan</w:t>
              <w:br w:type="textWrapping"/>
              <w:t xml:space="preserve">Iklan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 setiap ada kegiatan di Perwakilan LPSK Meda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 : 2 Tahun</w:t>
              <w:br w:type="textWrapping"/>
              <w:t xml:space="preserve">Inaktif 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Informasi Dokumentasi/ Peliputan Program/ Kegiatan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Berkala setiap ada kegiatan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Aktif: 2 Tahun</w:t>
              <w:br w:type="textWrapping"/>
              <w:t xml:space="preserve">Inaktif: 3 Tahun</w:t>
              <w:br w:type="textWrapping"/>
              <w:t xml:space="preserve">Nasib Akhir : Musnah, </w:t>
              <w:br w:type="textWrapping"/>
              <w:t xml:space="preserve">setelah menjadi laporan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6" w:right="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Bahan Materi Sosialisasi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Tim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Kepala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Tahunan di Perwakilan LPSK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Softcopy/ Hardcopy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33F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Aktif: 2 Tahun</w:t>
              <w:br w:type="textWrapping"/>
              <w:t xml:space="preserve">Inaktif: 3 Tahun</w:t>
              <w:br w:type="textWrapping"/>
              <w:t xml:space="preserve">Nasib Akhir: Musnah, </w:t>
              <w:br w:type="textWrapping"/>
              <w:t xml:space="preserve">setelah menjadi laporan</w:t>
            </w:r>
          </w:p>
        </w:tc>
      </w:tr>
    </w:tbl>
    <w:p w:rsidR="00000000" w:rsidDel="00000000" w:rsidP="00000000" w:rsidRDefault="00000000" w:rsidRPr="00000000" w14:paraId="00000340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Menyetujui,</w:t>
      </w:r>
    </w:p>
    <w:p w:rsidR="00000000" w:rsidDel="00000000" w:rsidP="00000000" w:rsidRDefault="00000000" w:rsidRPr="00000000" w14:paraId="00000343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5815988</wp:posOffset>
                </wp:positionH>
                <wp:positionV relativeFrom="paragraph">
                  <wp:posOffset>27232</wp:posOffset>
                </wp:positionV>
                <wp:extent cx="1381125" cy="8001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660201" y="3384714"/>
                          <a:ext cx="1371598" cy="7905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${ttd}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5815988</wp:posOffset>
                </wp:positionH>
                <wp:positionV relativeFrom="paragraph">
                  <wp:posOffset>27232</wp:posOffset>
                </wp:positionV>
                <wp:extent cx="1381125" cy="800100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45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Sriyana, S.H.,LL.M,DFM</w:t>
      </w:r>
    </w:p>
    <w:p w:rsidR="00000000" w:rsidDel="00000000" w:rsidP="00000000" w:rsidRDefault="00000000" w:rsidRPr="00000000" w14:paraId="0000034A">
      <w:pPr>
        <w:spacing w:line="240" w:lineRule="auto"/>
        <w:ind w:left="65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Sekretaris Jenderal Lembaga Pelindungan Saksi dan Korban/Atasan PPID</w:t>
      </w:r>
    </w:p>
    <w:sectPr>
      <w:headerReference r:id="rId8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Bookman Old Styl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4B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186688</wp:posOffset>
          </wp:positionH>
          <wp:positionV relativeFrom="paragraph">
            <wp:posOffset>-89533</wp:posOffset>
          </wp:positionV>
          <wp:extent cx="984884" cy="996949"/>
          <wp:effectExtent b="0" l="0" r="0" t="0"/>
          <wp:wrapNone/>
          <wp:docPr descr="LOGO LPSK" id="11" name="image2.jpg"/>
          <a:graphic>
            <a:graphicData uri="http://schemas.openxmlformats.org/drawingml/2006/picture">
              <pic:pic>
                <pic:nvPicPr>
                  <pic:cNvPr descr="LOGO LPSK" id="0" name="image2.jpg"/>
                  <pic:cNvPicPr preferRelativeResize="0"/>
                </pic:nvPicPr>
                <pic:blipFill>
                  <a:blip r:embed="rId1"/>
                  <a:srcRect b="12519" l="0" r="0" t="15974"/>
                  <a:stretch>
                    <a:fillRect/>
                  </a:stretch>
                </pic:blipFill>
                <pic:spPr>
                  <a:xfrm>
                    <a:off x="0" y="0"/>
                    <a:ext cx="984884" cy="9969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1996440</wp:posOffset>
              </wp:positionH>
              <wp:positionV relativeFrom="paragraph">
                <wp:posOffset>-94612</wp:posOffset>
              </wp:positionV>
              <wp:extent cx="4660265" cy="99949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25393" y="3289780"/>
                        <a:ext cx="4641215" cy="980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0000114440918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LEMBAGA PELINDUNGAN SAKSI DAN KORBAN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Jalan Raya Bogor Km. 24, No. 47—49, Jakarta 13750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Telepon (021) 29681560, Faksimile (021) 29681551,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Surel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  <w:t xml:space="preserve">lpsk_ri@lpsk.go.id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Laman www.lpsk.go.id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8.0000114440918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1996440</wp:posOffset>
              </wp:positionH>
              <wp:positionV relativeFrom="paragraph">
                <wp:posOffset>-94612</wp:posOffset>
              </wp:positionV>
              <wp:extent cx="4660265" cy="999490"/>
              <wp:effectExtent b="0" l="0" r="0" t="0"/>
              <wp:wrapNone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60265" cy="999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5200" distR="1152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-282479</wp:posOffset>
          </wp:positionV>
          <wp:extent cx="1390649" cy="1390649"/>
          <wp:effectExtent b="0" l="0" r="0" t="0"/>
          <wp:wrapSquare wrapText="bothSides" distB="0" distT="0" distL="115200" distR="11520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0649" cy="139064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34C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4D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4E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4F">
    <w:pPr>
      <w:tabs>
        <w:tab w:val="left" w:leader="none" w:pos="2977"/>
        <w:tab w:val="left" w:leader="none" w:pos="3119"/>
        <w:tab w:val="left" w:leader="none" w:pos="5245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50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120" w:line="360" w:lineRule="auto"/>
      <w:rPr>
        <w:rFonts w:ascii="Bookman Old Style" w:cs="Bookman Old Style" w:eastAsia="Bookman Old Style" w:hAnsi="Bookman Old Style"/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-14285</wp:posOffset>
              </wp:positionH>
              <wp:positionV relativeFrom="paragraph">
                <wp:posOffset>1905</wp:posOffset>
              </wp:positionV>
              <wp:extent cx="8892540" cy="5715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914018" y="3780000"/>
                        <a:ext cx="8863965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chemeClr val="dk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-14285</wp:posOffset>
              </wp:positionH>
              <wp:positionV relativeFrom="paragraph">
                <wp:posOffset>1905</wp:posOffset>
              </wp:positionV>
              <wp:extent cx="8892540" cy="57150"/>
              <wp:effectExtent b="0" l="0" r="0" t="0"/>
              <wp:wrapNone/>
              <wp:docPr id="1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9254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-4760</wp:posOffset>
              </wp:positionH>
              <wp:positionV relativeFrom="paragraph">
                <wp:posOffset>77152</wp:posOffset>
              </wp:positionV>
              <wp:extent cx="8873490" cy="2222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914018" y="3780000"/>
                        <a:ext cx="886396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-4760</wp:posOffset>
              </wp:positionH>
              <wp:positionV relativeFrom="paragraph">
                <wp:posOffset>77152</wp:posOffset>
              </wp:positionV>
              <wp:extent cx="8873490" cy="22225"/>
              <wp:effectExtent b="0" l="0" r="0" t="0"/>
              <wp:wrapNone/>
              <wp:docPr id="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7349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351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09" w:hanging="359.99999999999994"/>
      </w:pPr>
      <w:rPr/>
    </w:lvl>
    <w:lvl w:ilvl="1">
      <w:start w:val="1"/>
      <w:numFmt w:val="lowerLetter"/>
      <w:lvlText w:val="%2."/>
      <w:lvlJc w:val="left"/>
      <w:pPr>
        <w:ind w:left="1429" w:hanging="360"/>
      </w:pPr>
      <w:rPr/>
    </w:lvl>
    <w:lvl w:ilvl="2">
      <w:start w:val="1"/>
      <w:numFmt w:val="lowerRoman"/>
      <w:lvlText w:val="%3."/>
      <w:lvlJc w:val="right"/>
      <w:pPr>
        <w:ind w:left="2149" w:hanging="180"/>
      </w:pPr>
      <w:rPr/>
    </w:lvl>
    <w:lvl w:ilvl="3">
      <w:start w:val="1"/>
      <w:numFmt w:val="decimal"/>
      <w:lvlText w:val="%4."/>
      <w:lvlJc w:val="left"/>
      <w:pPr>
        <w:ind w:left="2869" w:hanging="360"/>
      </w:pPr>
      <w:rPr/>
    </w:lvl>
    <w:lvl w:ilvl="4">
      <w:start w:val="1"/>
      <w:numFmt w:val="lowerLetter"/>
      <w:lvlText w:val="%5."/>
      <w:lvlJc w:val="left"/>
      <w:pPr>
        <w:ind w:left="3589" w:hanging="360"/>
      </w:pPr>
      <w:rPr/>
    </w:lvl>
    <w:lvl w:ilvl="5">
      <w:start w:val="1"/>
      <w:numFmt w:val="lowerRoman"/>
      <w:lvlText w:val="%6."/>
      <w:lvlJc w:val="right"/>
      <w:pPr>
        <w:ind w:left="4309" w:hanging="180"/>
      </w:pPr>
      <w:rPr/>
    </w:lvl>
    <w:lvl w:ilvl="6">
      <w:start w:val="1"/>
      <w:numFmt w:val="decimal"/>
      <w:lvlText w:val="%7."/>
      <w:lvlJc w:val="left"/>
      <w:pPr>
        <w:ind w:left="5029" w:hanging="360"/>
      </w:pPr>
      <w:rPr/>
    </w:lvl>
    <w:lvl w:ilvl="7">
      <w:start w:val="1"/>
      <w:numFmt w:val="lowerLetter"/>
      <w:lvlText w:val="%8."/>
      <w:lvlJc w:val="left"/>
      <w:pPr>
        <w:ind w:left="5749" w:hanging="360"/>
      </w:pPr>
      <w:rPr/>
    </w:lvl>
    <w:lvl w:ilvl="8">
      <w:start w:val="1"/>
      <w:numFmt w:val="lowerRoman"/>
      <w:lvlText w:val="%9."/>
      <w:lvlJc w:val="right"/>
      <w:pPr>
        <w:ind w:left="6469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09" w:hanging="359.99999999999994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4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0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69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uiPriority w:val="9"/>
    <w:unhideWhenUsed w:val="1"/>
    <w:qFormat w:val="1"/>
    <w:pPr>
      <w:keepNext w:val="1"/>
      <w:keepLines w:val="1"/>
      <w:spacing w:after="0" w:before="40"/>
      <w:outlineLvl w:val="6"/>
    </w:pPr>
    <w:rPr>
      <w:rFonts w:ascii="Arial" w:cs="Arial" w:eastAsia="Arial" w:hAnsi="Arial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unhideWhenUsed w:val="1"/>
    <w:qFormat w:val="1"/>
    <w:pPr>
      <w:keepNext w:val="1"/>
      <w:keepLines w:val="1"/>
      <w:spacing w:after="0"/>
      <w:outlineLvl w:val="7"/>
    </w:pPr>
    <w:rPr>
      <w:rFonts w:ascii="Arial" w:cs="Arial" w:eastAsia="Arial" w:hAnsi="Arial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unhideWhenUsed w:val="1"/>
    <w:qFormat w:val="1"/>
    <w:pPr>
      <w:keepNext w:val="1"/>
      <w:keepLines w:val="1"/>
      <w:spacing w:after="0"/>
      <w:outlineLvl w:val="8"/>
    </w:pPr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7b4d8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da989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4d79d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b4a4c8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5cedd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ac192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d8ac2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d99695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abb59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b2a1c6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  <w:insideV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d8ac2" w:space="0" w:sz="4" w:themeColor="accent1" w:themeTint="0000EA" w:val="single"/>
          <w:left w:color="5d8ac2" w:space="0" w:sz="4" w:themeColor="accent1" w:themeTint="0000EA" w:val="single"/>
          <w:bottom w:color="5d8ac2" w:space="0" w:sz="4" w:themeColor="accent1" w:themeTint="0000EA" w:val="single"/>
          <w:right w:color="5d8ac2" w:space="0" w:sz="4" w:themeColor="accent1" w:themeTint="0000EA" w:val="single"/>
        </w:tcBorders>
        <w:shd w:color="5d8ac2" w:fill="5d8ac2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  <w:insideV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d99695" w:space="0" w:sz="4" w:themeColor="accent2" w:themeTint="000097" w:val="single"/>
          <w:left w:color="d99695" w:space="0" w:sz="4" w:themeColor="accent2" w:themeTint="000097" w:val="single"/>
          <w:bottom w:color="d99695" w:space="0" w:sz="4" w:themeColor="accent2" w:themeTint="000097" w:val="single"/>
          <w:right w:color="d99695" w:space="0" w:sz="4" w:themeColor="accent2" w:themeTint="000097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  <w:insideV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9abb59" w:space="0" w:sz="4" w:themeColor="accent3" w:themeTint="0000FE" w:val="single"/>
          <w:left w:color="9abb59" w:space="0" w:sz="4" w:themeColor="accent3" w:themeTint="0000FE" w:val="single"/>
          <w:bottom w:color="9abb59" w:space="0" w:sz="4" w:themeColor="accent3" w:themeTint="0000FE" w:val="single"/>
          <w:right w:color="9abb59" w:space="0" w:sz="4" w:themeColor="accent3" w:themeTint="0000FE" w:val="single"/>
        </w:tcBorders>
        <w:shd w:color="9abb59" w:fill="9abb59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  <w:insideV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b2a1c6" w:space="0" w:sz="4" w:themeColor="accent4" w:themeTint="00009A" w:val="single"/>
          <w:left w:color="b2a1c6" w:space="0" w:sz="4" w:themeColor="accent4" w:themeTint="00009A" w:val="single"/>
          <w:bottom w:color="b2a1c6" w:space="0" w:sz="4" w:themeColor="accent4" w:themeTint="00009A" w:val="single"/>
          <w:right w:color="b2a1c6" w:space="0" w:sz="4" w:themeColor="accent4" w:themeTint="00009A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4bacc6" w:fill="4bacc6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79646" w:fill="f79646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2dcdc" w:fill="f2dcdc" w:themeColor="accent2" w:themeFill="accent2" w:themeFillTint="000032" w:theme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c0504d" w:fill="c0504d" w:themeColor="accent2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band1Vert">
      <w:tblPr/>
      <w:tcPr>
        <w:shd w:color="e2aead" w:fill="e2aead" w:themeColor="accent2" w:themeFill="accent2" w:themeFillTint="000075" w:themeTint="000075" w:val="clear"/>
      </w:tcPr>
    </w:tblStylePr>
    <w:tblStylePr w:type="band1Horz">
      <w:tblPr/>
      <w:tcPr>
        <w:shd w:color="e2aead" w:fill="e2aead" w:themeColor="accent2" w:themeFill="accent2" w:themeFillTint="000075" w:themeTint="000075" w:val="clear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af1dc" w:fill="eaf1dc" w:themeColor="accent3" w:themeFill="accent3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9bbb59" w:fill="9bbb59" w:themeColor="accent3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band1Vert">
      <w:tblPr/>
      <w:tcPr>
        <w:shd w:color="d0dfb2" w:fill="d0dfb2" w:themeColor="accent3" w:themeFill="accent3" w:themeFillTint="000075" w:themeTint="000075" w:val="clear"/>
      </w:tcPr>
    </w:tblStylePr>
    <w:tblStylePr w:type="band1Horz">
      <w:tblPr/>
      <w:tcPr>
        <w:shd w:color="d0dfb2" w:fill="d0dfb2" w:themeColor="accent3" w:themeFill="accent3" w:themeFillTint="000075" w:themeTint="000075" w:val="clear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ef3" w:fill="daeef3" w:themeColor="accent5" w:themeFill="accent5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bacc6" w:fill="4bacc6" w:themeColor="accent5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band1Vert">
      <w:tblPr/>
      <w:tcPr>
        <w:shd w:color="acd8e4" w:fill="acd8e4" w:themeColor="accent5" w:themeFill="accent5" w:themeFillTint="000075" w:themeTint="000075" w:val="clear"/>
      </w:tcPr>
    </w:tblStylePr>
    <w:tblStylePr w:type="band1Horz">
      <w:tblPr/>
      <w:tcPr>
        <w:shd w:color="acd8e4" w:fill="acd8e4" w:themeColor="accent5" w:themeFill="accent5" w:themeFillTint="000075" w:themeTint="000075" w:val="clear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de9d8" w:fill="fde9d8" w:themeColor="accent6" w:themeFill="accent6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79646" w:fill="f79646" w:themeColor="accent6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band1Vert">
      <w:tblPr/>
      <w:tcPr>
        <w:shd w:color="fbceaa" w:fill="fbceaa" w:themeColor="accent6" w:themeFill="accent6" w:themeFillTint="000075" w:themeTint="000075" w:val="clear"/>
      </w:tcPr>
    </w:tblStylePr>
    <w:tblStylePr w:type="band1Horz">
      <w:tblPr/>
      <w:tcPr>
        <w:shd w:color="fbceaa" w:fill="fbceaa" w:themeColor="accent6" w:themeFill="accent6" w:themeFillTint="000075" w:themeTint="000075" w:val="clear"/>
      </w:tc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a6bfdd" w:space="0" w:sz="4" w:themeColor="accent1" w:themeTint="000080" w:val="single"/>
        <w:left w:color="a6bfdd" w:space="0" w:sz="4" w:themeColor="accent1" w:themeTint="000080" w:val="single"/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b w:val="1"/>
        <w:color w:val="a6bfdd" w:themeColor="accent1" w:themeShade="000095" w:themeTint="000080"/>
      </w:rPr>
      <w:tblPr/>
      <w:tcPr>
        <w:tcBorders>
          <w:bottom w:color="a6bfdd" w:space="0" w:sz="12" w:themeColor="accent1" w:themeTint="000080" w:val="single"/>
        </w:tcBorders>
      </w:tcPr>
    </w:tblStylePr>
    <w:tblStylePr w:type="lastRow">
      <w:rPr>
        <w:b w:val="1"/>
        <w:color w:val="a6bfdd" w:themeColor="accent1" w:themeShade="000095" w:themeTint="000080"/>
      </w:rPr>
    </w:tblStylePr>
    <w:tblStylePr w:type="firstCol">
      <w:rPr>
        <w:b w:val="1"/>
        <w:color w:val="a6bfdd" w:themeColor="accent1" w:themeShade="000095" w:themeTint="000080"/>
      </w:rPr>
    </w:tblStylePr>
    <w:tblStylePr w:type="lastCol">
      <w:rPr>
        <w:b w:val="1"/>
        <w:color w:val="a6bfdd" w:themeColor="accent1" w:themeShade="000095" w:themeTint="000080"/>
      </w:r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abb59" w:space="0" w:sz="4" w:themeColor="accent3" w:themeTint="0000FE" w:val="single"/>
        <w:left w:color="9abb59" w:space="0" w:sz="4" w:themeColor="accent3" w:themeTint="0000FE" w:val="single"/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9abb59" w:themeColor="accent3" w:themeShade="000095" w:themeTint="0000FE"/>
      </w:rPr>
      <w:tblPr/>
      <w:tcPr>
        <w:tcBorders>
          <w:bottom w:color="9abb59" w:space="0" w:sz="12" w:themeColor="accent3" w:themeTint="0000FE" w:val="single"/>
        </w:tcBorders>
      </w:tcPr>
    </w:tblStylePr>
    <w:tblStylePr w:type="lastRow">
      <w:rPr>
        <w:b w:val="1"/>
        <w:color w:val="9abb59" w:themeColor="accent3" w:themeShade="000095" w:themeTint="0000FE"/>
      </w:rPr>
    </w:tblStylePr>
    <w:tblStylePr w:type="firstCol">
      <w:rPr>
        <w:b w:val="1"/>
        <w:color w:val="9abb59" w:themeColor="accent3" w:themeShade="000095" w:themeTint="0000FE"/>
      </w:rPr>
    </w:tblStylePr>
    <w:tblStylePr w:type="lastCol">
      <w:rPr>
        <w:b w:val="1"/>
        <w:color w:val="9abb59" w:themeColor="accent3" w:themeShade="000095" w:themeTint="0000FE"/>
      </w:r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4bacc6" w:space="0" w:sz="12" w:themeColor="accent5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f79646" w:space="0" w:sz="12" w:themeColor="accent6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a6bfdd" w:space="0" w:sz="4" w:themeColor="accen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a6bfdd" w:space="0" w:sz="4" w:themeColor="accen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6bfdd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000000" w:space="0" w:sz="4" w:val="none"/>
          <w:left w:color="a6bfdd" w:space="0" w:sz="4" w:themeColor="accen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d99695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d99695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9abb59" w:space="0" w:sz="4" w:themeColor="accent3" w:themeTint="0000FE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abb59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000000" w:space="0" w:sz="4" w:val="none"/>
          <w:left w:color="9abb59" w:space="0" w:sz="4" w:themeColor="accent3" w:themeTint="0000FE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b2a1c6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b2a1c6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9d0de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000000" w:space="0" w:sz="4" w:val="none"/>
          <w:left w:color="99d0de" w:space="0" w:sz="4" w:themeColor="accent5" w:themeTint="00009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ac396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000000" w:space="0" w:sz="4" w:val="none"/>
          <w:left w:color="fac396" w:space="0" w:sz="4" w:themeColor="accent6" w:themeTint="00009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b15407" w:themeColor="accent6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15407" w:themeColor="accent6" w:themeShade="000095"/>
        <w:sz w:val="22"/>
      </w:r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0504d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0504d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bbb59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9bbb59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8064a2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8064a2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tblPr/>
      <w:tcPr>
        <w:shd w:color="fde4d0" w:fill="fde4d0" w:themeColor="accent6" w:themeFill="accent6" w:themeFillTint="000040" w:themeTint="000040" w:val="clear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bottom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bottom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bottom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bottom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bottom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bottom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d99695" w:space="0" w:sz="4" w:themeColor="accent2" w:themeTint="000097" w:val="single"/>
          <w:right w:color="d99695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9695" w:space="0" w:sz="4" w:themeColor="accent2" w:themeTint="000097" w:val="single"/>
          <w:bottom w:color="d99695" w:space="0" w:sz="4" w:themeColor="accent2" w:themeTint="000097" w:val="single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left w:color="c3d69b" w:space="0" w:sz="4" w:themeColor="accent3" w:themeTint="000098" w:val="single"/>
        <w:bottom w:color="c3d69b" w:space="0" w:sz="4" w:themeColor="accent3" w:themeTint="000098" w:val="single"/>
        <w:right w:color="c3d69b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3d69b" w:fill="c3d69b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3d69b" w:space="0" w:sz="4" w:themeColor="accent3" w:themeTint="000098" w:val="single"/>
          <w:right w:color="c3d69b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3d69b" w:space="0" w:sz="4" w:themeColor="accent3" w:themeTint="000098" w:val="single"/>
          <w:bottom w:color="c3d69b" w:space="0" w:sz="4" w:themeColor="accent3" w:themeTint="000098" w:val="single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b2a1c6" w:space="0" w:sz="4" w:themeColor="accent4" w:themeTint="00009A" w:val="single"/>
          <w:right w:color="b2a1c6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2a1c6" w:space="0" w:sz="4" w:themeColor="accent4" w:themeTint="00009A" w:val="single"/>
          <w:bottom w:color="b2a1c6" w:space="0" w:sz="4" w:themeColor="accent4" w:themeTint="00009A" w:val="single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left w:color="92ccdc" w:space="0" w:sz="4" w:themeColor="accent5" w:themeTint="00009A" w:val="single"/>
        <w:bottom w:color="92ccdc" w:space="0" w:sz="4" w:themeColor="accent5" w:themeTint="00009A" w:val="single"/>
        <w:right w:color="92ccdc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2ccdc" w:fill="92ccdc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92ccdc" w:space="0" w:sz="4" w:themeColor="accent5" w:themeTint="00009A" w:val="single"/>
          <w:right w:color="92ccdc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2ccdc" w:space="0" w:sz="4" w:themeColor="accent5" w:themeTint="00009A" w:val="single"/>
          <w:bottom w:color="92ccdc" w:space="0" w:sz="4" w:themeColor="accent5" w:themeTint="00009A" w:val="single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left w:color="fac090" w:space="0" w:sz="4" w:themeColor="accent6" w:themeTint="000098" w:val="single"/>
        <w:bottom w:color="fac090" w:space="0" w:sz="4" w:themeColor="accent6" w:themeTint="000098" w:val="single"/>
        <w:right w:color="fac090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ac090" w:fill="fac090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ac090" w:space="0" w:sz="4" w:themeColor="accent6" w:themeTint="000098" w:val="single"/>
          <w:right w:color="fac090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ac090" w:space="0" w:sz="4" w:themeColor="accent6" w:themeTint="000098" w:val="single"/>
          <w:bottom w:color="fac090" w:space="0" w:sz="4" w:themeColor="accent6" w:themeTint="000098" w:val="single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  <w:shd w:color="4f81bd" w:fill="4f81bd" w:themeColor="accent1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f81bd" w:fill="4f81bd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32" w:themeColor="accent2" w:themeTint="000097" w:val="single"/>
        <w:left w:color="d99695" w:space="0" w:sz="32" w:themeColor="accent2" w:themeTint="000097" w:val="single"/>
        <w:bottom w:color="d99695" w:space="0" w:sz="32" w:themeColor="accent2" w:themeTint="000097" w:val="single"/>
        <w:right w:color="d99695" w:space="0" w:sz="32" w:themeColor="accent2" w:themeTint="000097" w:val="single"/>
      </w:tblBorders>
      <w:shd w:color="d99695" w:fill="d99695" w:themeColor="accent2" w:themeFill="accent2" w:themeFillTint="000097" w:theme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d99695" w:space="0" w:sz="32" w:themeColor="accent2" w:themeTint="000097" w:val="single"/>
          <w:bottom w:color="ffffff" w:space="0" w:sz="12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d99695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d99695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32" w:themeColor="accent3" w:themeTint="000098" w:val="single"/>
        <w:left w:color="c3d69b" w:space="0" w:sz="32" w:themeColor="accent3" w:themeTint="000098" w:val="single"/>
        <w:bottom w:color="c3d69b" w:space="0" w:sz="32" w:themeColor="accent3" w:themeTint="000098" w:val="single"/>
        <w:right w:color="c3d69b" w:space="0" w:sz="32" w:themeColor="accent3" w:themeTint="000098" w:val="single"/>
      </w:tblBorders>
      <w:shd w:color="c3d69b" w:fill="c3d69b" w:themeColor="accent3" w:themeFill="accent3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3d69b" w:space="0" w:sz="32" w:themeColor="accent3" w:themeTint="000098" w:val="single"/>
          <w:bottom w:color="ffffff" w:space="0" w:sz="12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3d69b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3d69b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32" w:themeColor="accent4" w:themeTint="00009A" w:val="single"/>
        <w:left w:color="b2a1c6" w:space="0" w:sz="32" w:themeColor="accent4" w:themeTint="00009A" w:val="single"/>
        <w:bottom w:color="b2a1c6" w:space="0" w:sz="32" w:themeColor="accent4" w:themeTint="00009A" w:val="single"/>
        <w:right w:color="b2a1c6" w:space="0" w:sz="32" w:themeColor="accent4" w:themeTint="00009A" w:val="single"/>
      </w:tblBorders>
      <w:shd w:color="b2a1c6" w:fill="b2a1c6" w:themeColor="accent4" w:themeFill="accent4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b2a1c6" w:space="0" w:sz="32" w:themeColor="accent4" w:themeTint="00009A" w:val="single"/>
          <w:bottom w:color="ffffff" w:space="0" w:sz="12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b2a1c6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b2a1c6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32" w:themeColor="accent5" w:themeTint="00009A" w:val="single"/>
        <w:left w:color="92ccdc" w:space="0" w:sz="32" w:themeColor="accent5" w:themeTint="00009A" w:val="single"/>
        <w:bottom w:color="92ccdc" w:space="0" w:sz="32" w:themeColor="accent5" w:themeTint="00009A" w:val="single"/>
        <w:right w:color="92ccdc" w:space="0" w:sz="32" w:themeColor="accent5" w:themeTint="00009A" w:val="single"/>
      </w:tblBorders>
      <w:shd w:color="92ccdc" w:fill="92ccdc" w:themeColor="accent5" w:themeFill="accent5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92ccdc" w:space="0" w:sz="32" w:themeColor="accent5" w:themeTint="00009A" w:val="single"/>
          <w:bottom w:color="ffffff" w:space="0" w:sz="12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92ccdc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2ccdc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32" w:themeColor="accent6" w:themeTint="000098" w:val="single"/>
        <w:left w:color="fac090" w:space="0" w:sz="32" w:themeColor="accent6" w:themeTint="000098" w:val="single"/>
        <w:bottom w:color="fac090" w:space="0" w:sz="32" w:themeColor="accent6" w:themeTint="000098" w:val="single"/>
        <w:right w:color="fac090" w:space="0" w:sz="32" w:themeColor="accent6" w:themeTint="000098" w:val="single"/>
      </w:tblBorders>
      <w:shd w:color="fac090" w:fill="fac090" w:themeColor="accent6" w:themeFill="accent6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ac090" w:space="0" w:sz="32" w:themeColor="accent6" w:themeTint="000098" w:val="single"/>
          <w:bottom w:color="ffffff" w:space="0" w:sz="12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ac090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ac090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 w:val="1"/>
        <w:color w:val="2a4a71" w:themeColor="accent1" w:themeShade="000095"/>
      </w:rPr>
      <w:tblPr/>
      <w:tcPr>
        <w:tcBorders>
          <w:bottom w:color="4f81bd" w:space="0" w:sz="4" w:themeColor="accent1" w:val="single"/>
        </w:tcBorders>
      </w:tcPr>
    </w:tblStylePr>
    <w:tblStylePr w:type="lastRow">
      <w:rPr>
        <w:b w:val="1"/>
        <w:color w:val="2a4a71" w:themeColor="accent1" w:themeShade="000095"/>
      </w:rPr>
      <w:tblPr/>
      <w:tcPr>
        <w:tcBorders>
          <w:top w:color="4f81bd" w:space="0" w:sz="4" w:themeColor="accent1" w:val="single"/>
        </w:tcBorders>
      </w:tcPr>
    </w:tblStylePr>
    <w:tblStylePr w:type="firstCol">
      <w:rPr>
        <w:b w:val="1"/>
        <w:color w:val="2a4a71" w:themeColor="accent1" w:themeShade="000095"/>
      </w:rPr>
    </w:tblStylePr>
    <w:tblStylePr w:type="lastCol">
      <w:rPr>
        <w:b w:val="1"/>
        <w:color w:val="2a4a71" w:themeColor="accent1" w:themeShade="000095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bottom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4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bottom w:color="c3d69b" w:space="0" w:sz="4" w:themeColor="accent3" w:themeTint="000098" w:val="single"/>
      </w:tblBorders>
    </w:tblPr>
    <w:tblStylePr w:type="firstRow">
      <w:rPr>
        <w:b w:val="1"/>
        <w:color w:val="c3d69b" w:themeColor="accent3" w:themeShade="000095" w:themeTint="000098"/>
      </w:rPr>
      <w:tblPr/>
      <w:tcPr>
        <w:tcBorders>
          <w:bottom w:color="c3d69b" w:space="0" w:sz="4" w:themeColor="accent3" w:themeTint="000098" w:val="single"/>
        </w:tcBorders>
      </w:tcPr>
    </w:tblStylePr>
    <w:tblStylePr w:type="lastRow">
      <w:rPr>
        <w:b w:val="1"/>
        <w:color w:val="c3d69b" w:themeColor="accent3" w:themeShade="000095" w:themeTint="000098"/>
      </w:rPr>
      <w:tblPr/>
      <w:tcPr>
        <w:tcBorders>
          <w:top w:color="c3d69b" w:space="0" w:sz="4" w:themeColor="accent3" w:themeTint="000098" w:val="single"/>
        </w:tcBorders>
      </w:tcPr>
    </w:tblStylePr>
    <w:tblStylePr w:type="firstCol">
      <w:rPr>
        <w:b w:val="1"/>
        <w:color w:val="c3d69b" w:themeColor="accent3" w:themeShade="000095" w:themeTint="000098"/>
      </w:rPr>
    </w:tblStylePr>
    <w:tblStylePr w:type="lastCol">
      <w:rPr>
        <w:b w:val="1"/>
        <w:color w:val="c3d69b" w:themeColor="accent3" w:themeShade="000095" w:themeTint="000098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bottom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4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bottom w:color="92ccdc" w:space="0" w:sz="4" w:themeColor="accent5" w:themeTint="00009A" w:val="single"/>
      </w:tblBorders>
    </w:tblPr>
    <w:tblStylePr w:type="firstRow">
      <w:rPr>
        <w:b w:val="1"/>
        <w:color w:val="92ccdc" w:themeColor="accent5" w:themeShade="000095" w:themeTint="00009A"/>
      </w:rPr>
      <w:tblPr/>
      <w:tcPr>
        <w:tcBorders>
          <w:bottom w:color="92ccdc" w:space="0" w:sz="4" w:themeColor="accent5" w:themeTint="00009A" w:val="single"/>
        </w:tcBorders>
      </w:tcPr>
    </w:tblStylePr>
    <w:tblStylePr w:type="lastRow">
      <w:rPr>
        <w:b w:val="1"/>
        <w:color w:val="92ccdc" w:themeColor="accent5" w:themeShade="000095" w:themeTint="00009A"/>
      </w:rPr>
      <w:tblPr/>
      <w:tcPr>
        <w:tcBorders>
          <w:top w:color="92ccdc" w:space="0" w:sz="4" w:themeColor="accent5" w:themeTint="00009A" w:val="single"/>
        </w:tcBorders>
      </w:tcPr>
    </w:tblStylePr>
    <w:tblStylePr w:type="firstCol">
      <w:rPr>
        <w:b w:val="1"/>
        <w:color w:val="92ccdc" w:themeColor="accent5" w:themeShade="000095" w:themeTint="00009A"/>
      </w:rPr>
    </w:tblStylePr>
    <w:tblStylePr w:type="lastCol">
      <w:rPr>
        <w:b w:val="1"/>
        <w:color w:val="92ccdc" w:themeColor="accent5" w:themeShade="000095" w:themeTint="00009A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bottom w:color="fac090" w:space="0" w:sz="4" w:themeColor="accent6" w:themeTint="000098" w:val="single"/>
      </w:tblBorders>
    </w:tblPr>
    <w:tblStylePr w:type="firstRow">
      <w:rPr>
        <w:b w:val="1"/>
        <w:color w:val="fac090" w:themeColor="accent6" w:themeShade="000095" w:themeTint="000098"/>
      </w:rPr>
      <w:tblPr/>
      <w:tcPr>
        <w:tcBorders>
          <w:bottom w:color="fac090" w:space="0" w:sz="4" w:themeColor="accent6" w:themeTint="000098" w:val="single"/>
        </w:tcBorders>
      </w:tcPr>
    </w:tblStylePr>
    <w:tblStylePr w:type="lastRow">
      <w:rPr>
        <w:b w:val="1"/>
        <w:color w:val="fac090" w:themeColor="accent6" w:themeShade="000095" w:themeTint="000098"/>
      </w:rPr>
      <w:tblPr/>
      <w:tcPr>
        <w:tcBorders>
          <w:top w:color="fac090" w:space="0" w:sz="4" w:themeColor="accent6" w:themeTint="000098" w:val="single"/>
        </w:tcBorders>
      </w:tcPr>
    </w:tblStylePr>
    <w:tblStylePr w:type="firstCol">
      <w:rPr>
        <w:b w:val="1"/>
        <w:color w:val="fac090" w:themeColor="accent6" w:themeShade="000095" w:themeTint="000098"/>
      </w:rPr>
    </w:tblStylePr>
    <w:tblStylePr w:type="lastCol">
      <w:rPr>
        <w:b w:val="1"/>
        <w:color w:val="fac090" w:themeColor="accent6" w:themeShade="000095" w:themeTint="000098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4f81bd" w:space="0" w:sz="4" w:themeColor="accent1" w:val="single"/>
      </w:tblBorders>
    </w:tblPr>
    <w:tblStylePr w:type="fir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f81bd" w:space="0" w:sz="4" w:themeColor="accent1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000000" w:space="0" w:sz="4" w:val="none"/>
          <w:left w:color="4f81bd" w:space="0" w:sz="4" w:themeColor="accent1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d99695" w:space="0" w:sz="4" w:themeColor="accent2" w:themeTint="000097" w:val="single"/>
      </w:tblBorders>
    </w:tblPr>
    <w:tblStylePr w:type="fir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d99695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d99695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c3d69b" w:space="0" w:sz="4" w:themeColor="accent3" w:themeTint="000098" w:val="single"/>
      </w:tblBorders>
    </w:tblPr>
    <w:tblStylePr w:type="fir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c3d69b" w:space="0" w:sz="4" w:themeColor="accent3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c3d69b" w:space="0" w:sz="4" w:themeColor="accent3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c3d69b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000000" w:space="0" w:sz="4" w:val="none"/>
          <w:left w:color="c3d69b" w:space="0" w:sz="4" w:themeColor="accent3" w:themeTint="000098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b2a1c6" w:space="0" w:sz="4" w:themeColor="accent4" w:themeTint="00009A" w:val="single"/>
      </w:tblBorders>
    </w:tblPr>
    <w:tblStylePr w:type="fir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b2a1c6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b2a1c6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92ccdc" w:space="0" w:sz="4" w:themeColor="accent5" w:themeTint="00009A" w:val="single"/>
      </w:tblBorders>
    </w:tblPr>
    <w:tblStylePr w:type="fir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92ccdc" w:space="0" w:sz="4" w:themeColor="accent5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92ccdc" w:space="0" w:sz="4" w:themeColor="accent5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2ccdc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000000" w:space="0" w:sz="4" w:val="none"/>
          <w:left w:color="92ccdc" w:space="0" w:sz="4" w:themeColor="accent5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fac090" w:space="0" w:sz="4" w:themeColor="accent6" w:themeTint="000098" w:val="single"/>
      </w:tblBorders>
    </w:tblPr>
    <w:tblStylePr w:type="fir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fac090" w:space="0" w:sz="4" w:themeColor="accent6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fac090" w:space="0" w:sz="4" w:themeColor="accent6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ac090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000000" w:space="0" w:sz="4" w:val="none"/>
          <w:left w:color="fac090" w:space="0" w:sz="4" w:themeColor="accent6" w:themeTint="000098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5f1" w:fill="dae5f1" w:themeColor="accent1" w:themeFill="accent1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f81bd" w:fill="4f81bd" w:themeColor="accent1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band1Vert">
      <w:tblPr/>
      <w:tcPr>
        <w:shd w:color="aec4e0" w:fill="aec4e0" w:themeColor="accent1" w:themeFill="accent1" w:themeFillTint="000075" w:themeTint="000075" w:val="clear"/>
      </w:tcPr>
    </w:tblStylePr>
    <w:tblStylePr w:type="band1Horz">
      <w:tblPr/>
      <w:tcPr>
        <w:shd w:color="aec4e0" w:fill="aec4e0" w:themeColor="accent1" w:themeFill="accent1" w:themeFillTint="000075" w:themeTint="000075" w:val="clear"/>
      </w:tcPr>
    </w:tblStylePr>
  </w:style>
  <w:style w:type="table" w:styleId="GridTable5Dark-Accent4" w:customStyle="1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5dfec" w:fill="e5dfec" w:themeColor="accent4" w:themeFill="accent4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8064a2" w:fill="8064a2" w:themeColor="accent4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band1Vert">
      <w:tblPr/>
      <w:tcPr>
        <w:shd w:color="c4b7d4" w:fill="c4b7d4" w:themeColor="accent4" w:themeFill="accent4" w:themeFillTint="000075" w:themeTint="000075" w:val="clear"/>
      </w:tcPr>
    </w:tblStylePr>
    <w:tblStylePr w:type="band1Horz">
      <w:tblPr/>
      <w:tcPr>
        <w:shd w:color="c4b7d4" w:fill="c4b7d4" w:themeColor="accent4" w:themeFill="accent4" w:themeFillTint="000075" w:themeTint="000075" w:val="clear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ned-Accent" w:customStyle="1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2a4a71" w:space="0" w:sz="4" w:themeColor="accent1" w:themeShade="000095" w:val="single"/>
        <w:left w:color="2a4a71" w:space="0" w:sz="4" w:themeColor="accent1" w:themeShade="000095" w:val="single"/>
        <w:bottom w:color="2a4a71" w:space="0" w:sz="4" w:themeColor="accent1" w:themeShade="000095" w:val="single"/>
        <w:right w:color="2a4a71" w:space="0" w:sz="4" w:themeColor="accent1" w:themeShade="000095" w:val="single"/>
        <w:insideH w:color="2a4a71" w:space="0" w:sz="4" w:themeColor="accent1" w:themeShade="000095" w:val="single"/>
        <w:insideV w:color="2a4a71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732a29" w:space="0" w:sz="4" w:themeColor="accent2" w:themeShade="000095" w:val="single"/>
        <w:left w:color="732a29" w:space="0" w:sz="4" w:themeColor="accent2" w:themeShade="000095" w:val="single"/>
        <w:bottom w:color="732a29" w:space="0" w:sz="4" w:themeColor="accent2" w:themeShade="000095" w:val="single"/>
        <w:right w:color="732a29" w:space="0" w:sz="4" w:themeColor="accent2" w:themeShade="000095" w:val="single"/>
        <w:insideH w:color="732a29" w:space="0" w:sz="4" w:themeColor="accent2" w:themeShade="000095" w:val="single"/>
        <w:insideV w:color="732a29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5b722e" w:space="0" w:sz="4" w:themeColor="accent3" w:themeShade="000095" w:val="single"/>
        <w:left w:color="5b722e" w:space="0" w:sz="4" w:themeColor="accent3" w:themeShade="000095" w:val="single"/>
        <w:bottom w:color="5b722e" w:space="0" w:sz="4" w:themeColor="accent3" w:themeShade="000095" w:val="single"/>
        <w:right w:color="5b722e" w:space="0" w:sz="4" w:themeColor="accent3" w:themeShade="000095" w:val="single"/>
        <w:insideH w:color="5b722e" w:space="0" w:sz="4" w:themeColor="accent3" w:themeShade="000095" w:val="single"/>
        <w:insideV w:color="5b722e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4a395f" w:space="0" w:sz="4" w:themeColor="accent4" w:themeShade="000095" w:val="single"/>
        <w:left w:color="4a395f" w:space="0" w:sz="4" w:themeColor="accent4" w:themeShade="000095" w:val="single"/>
        <w:bottom w:color="4a395f" w:space="0" w:sz="4" w:themeColor="accent4" w:themeShade="000095" w:val="single"/>
        <w:right w:color="4a395f" w:space="0" w:sz="4" w:themeColor="accent4" w:themeShade="000095" w:val="single"/>
        <w:insideH w:color="4a395f" w:space="0" w:sz="4" w:themeColor="accent4" w:themeShade="000095" w:val="single"/>
        <w:insideV w:color="4a395f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266779" w:space="0" w:sz="4" w:themeColor="accent5" w:themeShade="000095" w:val="single"/>
        <w:left w:color="266779" w:space="0" w:sz="4" w:themeColor="accent5" w:themeShade="000095" w:val="single"/>
        <w:bottom w:color="266779" w:space="0" w:sz="4" w:themeColor="accent5" w:themeShade="000095" w:val="single"/>
        <w:right w:color="266779" w:space="0" w:sz="4" w:themeColor="accent5" w:themeShade="000095" w:val="single"/>
        <w:insideH w:color="266779" w:space="0" w:sz="4" w:themeColor="accent5" w:themeShade="000095" w:val="single"/>
        <w:insideV w:color="266779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id-ID"/>
    </w:rPr>
    <w:tblPr>
      <w:tblStyleRowBandSize w:val="1"/>
      <w:tblStyleColBandSize w:val="1"/>
      <w:tblBorders>
        <w:top w:color="b15407" w:space="0" w:sz="4" w:themeColor="accent6" w:themeShade="000095" w:val="single"/>
        <w:left w:color="b15407" w:space="0" w:sz="4" w:themeColor="accent6" w:themeShade="000095" w:val="single"/>
        <w:bottom w:color="b15407" w:space="0" w:sz="4" w:themeColor="accent6" w:themeShade="000095" w:val="single"/>
        <w:right w:color="b15407" w:space="0" w:sz="4" w:themeColor="accent6" w:themeShade="000095" w:val="single"/>
        <w:insideH w:color="b15407" w:space="0" w:sz="4" w:themeColor="accent6" w:themeShade="000095" w:val="single"/>
        <w:insideV w:color="b15407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" w:customStyle="1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d99695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d99695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3d69b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3d69b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3d69b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b2a1c6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b2a1c6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2ccdc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2ccdc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2ccdc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ac09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ac090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ac090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character" w:styleId="Heading1Char" w:customStyle="1">
    <w:name w:val="Heading 1 Char"/>
    <w:basedOn w:val="DefaultParagraphFont"/>
    <w:link w:val="Heading1"/>
    <w:uiPriority w:val="9"/>
    <w:rPr>
      <w:rFonts w:ascii="Arial" w:cs="Arial" w:eastAsia="Arial" w:hAnsi="Arial"/>
      <w:color w:val="365f9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Arial" w:cs="Arial" w:eastAsia="Arial" w:hAnsi="Arial"/>
      <w:color w:val="365f9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="Arial" w:cs="Arial" w:eastAsia="Arial" w:hAnsi="Arial"/>
      <w:color w:val="365f9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="Arial" w:cs="Arial" w:eastAsia="Arial" w:hAnsi="Arial"/>
      <w:i w:val="1"/>
      <w:iCs w:val="1"/>
      <w:color w:val="365f9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="Arial" w:cs="Arial" w:eastAsia="Arial" w:hAnsi="Arial"/>
      <w:color w:val="365f9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="Arial" w:cs="Arial" w:eastAsia="Arial" w:hAnsi="Arial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="Arial" w:cs="Arial" w:eastAsia="Arial" w:hAnsi="Arial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Pr>
      <w:rFonts w:ascii="Arial" w:cs="Arial" w:eastAsia="Arial" w:hAnsi="Arial"/>
      <w:spacing w:val="-10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Pr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qFormat w:val="1"/>
    <w:rPr>
      <w:i w:val="1"/>
      <w:iCs w:val="1"/>
      <w:color w:val="365f9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365f9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 w:val="1"/>
      <w:iCs w:val="1"/>
      <w:color w:val="365f9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Pr>
      <w:b w:val="1"/>
      <w:bCs w:val="1"/>
      <w:smallCaps w:val="1"/>
      <w:color w:val="365f91" w:themeColor="accent1" w:themeShade="0000BF"/>
      <w:spacing w:val="5"/>
    </w:rPr>
  </w:style>
  <w:style w:type="paragraph" w:styleId="NoSpacing">
    <w:name w:val="No Spacing"/>
    <w:basedOn w:val="Normal"/>
    <w:uiPriority w:val="1"/>
    <w:qFormat w:val="1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 w:val="1"/>
    <w:rPr>
      <w:i w:val="1"/>
      <w:iCs w:val="1"/>
      <w:color w:val="404040" w:themeColor="text1" w:themeTint="0000BF"/>
    </w:rPr>
  </w:style>
  <w:style w:type="character" w:styleId="Emphasis">
    <w:name w:val="Emphasis"/>
    <w:basedOn w:val="DefaultParagraphFont"/>
    <w:uiPriority w:val="20"/>
    <w:qFormat w:val="1"/>
    <w:rPr>
      <w:i w:val="1"/>
      <w:iCs w:val="1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SubtleReference">
    <w:name w:val="Subtle Reference"/>
    <w:basedOn w:val="DefaultParagraphFont"/>
    <w:uiPriority w:val="31"/>
    <w:qFormat w:val="1"/>
    <w:rPr>
      <w:smallCaps w:val="1"/>
      <w:color w:val="5a5a5a" w:themeColor="text1" w:themeTint="0000A5"/>
    </w:rPr>
  </w:style>
  <w:style w:type="character" w:styleId="BookTitle">
    <w:name w:val="Book Title"/>
    <w:basedOn w:val="DefaultParagraphFont"/>
    <w:uiPriority w:val="33"/>
    <w:qFormat w:val="1"/>
    <w:rPr>
      <w:b w:val="1"/>
      <w:bCs w:val="1"/>
      <w:i w:val="1"/>
      <w:iCs w:val="1"/>
      <w:spacing w:val="5"/>
    </w:rPr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844"/>
        <w:tab w:val="right" w:pos="9689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844"/>
        <w:tab w:val="right" w:pos="9689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1"/>
    <w:qFormat w:val="1"/>
    <w:pPr>
      <w:spacing w:after="200" w:line="240" w:lineRule="auto"/>
    </w:pPr>
    <w:rPr>
      <w:i w:val="1"/>
      <w:iCs w:val="1"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character" w:styleId="Hyperlink">
    <w:name w:val="Hyperlink"/>
    <w:basedOn w:val="DefaultParagraphFont"/>
    <w:uiPriority w:val="99"/>
    <w:unhideWhenUsed w:val="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 w:val="1"/>
    <w:pPr>
      <w:spacing w:after="100"/>
    </w:pPr>
  </w:style>
  <w:style w:type="paragraph" w:styleId="TOC2">
    <w:name w:val="toc 2"/>
    <w:basedOn w:val="Normal"/>
    <w:next w:val="Normal"/>
    <w:uiPriority w:val="39"/>
    <w:unhideWhenUsed w:val="1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 w:val="1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 w:val="1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 w:val="1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 w:val="1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 w:val="1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 w:val="1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 w:val="1"/>
    <w:pPr>
      <w:spacing w:after="100"/>
      <w:ind w:left="1760"/>
    </w:pPr>
  </w:style>
  <w:style w:type="paragraph" w:styleId="TOCHeading">
    <w:name w:val="TOC Heading"/>
    <w:uiPriority w:val="39"/>
    <w:unhideWhenUsed w:val="1"/>
  </w:style>
  <w:style w:type="paragraph" w:styleId="TableofFigures">
    <w:name w:val="table of figures"/>
    <w:basedOn w:val="Normal"/>
    <w:next w:val="Normal"/>
    <w:uiPriority w:val="99"/>
    <w:unhideWhenUsed w:val="1"/>
    <w:pPr>
      <w:spacing w:after="0"/>
    </w:p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Gen0" w:customStyle="1">
    <w:name w:val="StGen0"/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  <w:rPr>
      <w:rFonts w:asciiTheme="minorHAnsi" w:cstheme="minorBidi" w:eastAsiaTheme="minorHAnsi" w:hAnsiTheme="minorHAnsi"/>
      <w:lang w:eastAsia="en-US" w:val="id-ID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1dHYe2FM+SWhyAsHu4x21IzK5A==">CgMxLjA4AHIhMWt6ay1jVEZZN2VDN0RxOHlHX0VsaWMxaEVjSTMxRHhF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2026-06-18T07:31:00Z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05513401-d718-40f7-a6fe-410f91fa5084</vt:lpwstr>
  </property>
</Properties>
</file>